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29"/>
      </w:pPr>
      <w:r>
        <w:t>附件</w:t>
      </w:r>
    </w:p>
    <w:p>
      <w:pPr>
        <w:pStyle w:val="2"/>
        <w:ind w:left="0"/>
      </w:pPr>
    </w:p>
    <w:p>
      <w:pPr>
        <w:pStyle w:val="2"/>
        <w:spacing w:before="7"/>
        <w:ind w:left="0"/>
        <w:rPr>
          <w:sz w:val="28"/>
        </w:rPr>
      </w:pPr>
    </w:p>
    <w:p>
      <w:pPr>
        <w:spacing w:before="0"/>
        <w:ind w:left="135" w:right="0" w:firstLine="0"/>
        <w:jc w:val="left"/>
        <w:rPr>
          <w:sz w:val="44"/>
        </w:rPr>
      </w:pPr>
      <w:bookmarkStart w:id="0" w:name="_GoBack"/>
      <w:r>
        <w:rPr>
          <w:rFonts w:ascii="Times New Roman" w:eastAsia="Times New Roman"/>
          <w:sz w:val="44"/>
        </w:rPr>
        <w:t xml:space="preserve">2021 </w:t>
      </w:r>
      <w:r>
        <w:rPr>
          <w:sz w:val="44"/>
        </w:rPr>
        <w:t>年度南京市软科学研究计划项目申报指南</w:t>
      </w:r>
    </w:p>
    <w:bookmarkEnd w:id="0"/>
    <w:p>
      <w:pPr>
        <w:pStyle w:val="2"/>
        <w:spacing w:before="4"/>
        <w:ind w:left="0"/>
        <w:rPr>
          <w:sz w:val="63"/>
        </w:rPr>
      </w:pPr>
    </w:p>
    <w:p>
      <w:pPr>
        <w:pStyle w:val="2"/>
        <w:ind w:left="754"/>
      </w:pPr>
      <w:r>
        <w:t>一、重点项目</w:t>
      </w:r>
    </w:p>
    <w:p>
      <w:pPr>
        <w:pStyle w:val="2"/>
        <w:spacing w:before="171"/>
        <w:ind w:left="754"/>
      </w:pPr>
      <w:r>
        <w:t>（一）南京建设区域科技创新中心的路径研究</w:t>
      </w:r>
    </w:p>
    <w:p>
      <w:pPr>
        <w:pStyle w:val="2"/>
        <w:spacing w:before="171" w:line="338" w:lineRule="auto"/>
        <w:ind w:right="431" w:firstLine="640"/>
        <w:jc w:val="both"/>
      </w:pPr>
      <w:r>
        <w:t>主要研究内容：在南京都市圈战略背景下，以提升南京科技创新策源能力为主要目标，通过科学研判国内外区域科技创新中心的最新创新部署动态，深入剖析南京建设区域科技创新中心的基础现状、存在问题和产生根源，明晰与上海、合肥综合性科学中心的关联关系，前瞻性提出系统集成、具有针对性和可操作性的实施路径和对策建议。</w:t>
      </w:r>
    </w:p>
    <w:p>
      <w:pPr>
        <w:pStyle w:val="2"/>
        <w:spacing w:before="12"/>
        <w:ind w:left="754"/>
      </w:pPr>
      <w:r>
        <w:t>（二）碳达峰、碳中和目标下南京科技创新发展战略研究</w:t>
      </w:r>
    </w:p>
    <w:p>
      <w:pPr>
        <w:pStyle w:val="2"/>
        <w:spacing w:before="168" w:line="340" w:lineRule="auto"/>
        <w:ind w:right="269" w:firstLine="640"/>
      </w:pPr>
      <w:r>
        <w:rPr>
          <w:spacing w:val="-13"/>
        </w:rPr>
        <w:t>主要研究内容：以南京经济社会发展现状为基础，以碳达峰、</w:t>
      </w:r>
      <w:r>
        <w:t>碳中和为约束条件，研究如何更好发挥科技在整个碳达峰、碳中和中的战略支撑作用，建立健全绿色低碳循环发展经济体系，促进经济社会发展全面绿色转型，提出适合南京碳达峰、碳中和技术选择、发展路径和有关部署的对策建议。</w:t>
      </w:r>
    </w:p>
    <w:p>
      <w:pPr>
        <w:pStyle w:val="2"/>
        <w:spacing w:line="401" w:lineRule="exact"/>
        <w:ind w:left="754"/>
      </w:pPr>
      <w:r>
        <w:t>（三）进一步提升南京原始创新策源能力的研究</w:t>
      </w:r>
    </w:p>
    <w:p>
      <w:pPr>
        <w:pStyle w:val="2"/>
        <w:spacing w:before="169" w:line="338" w:lineRule="auto"/>
        <w:ind w:right="113" w:firstLine="640"/>
      </w:pPr>
      <w:r>
        <w:rPr>
          <w:spacing w:val="7"/>
        </w:rPr>
        <w:t>主要研究内容：借鉴国内外基础科学和原始创新重要城市、</w:t>
      </w:r>
      <w:r>
        <w:rPr>
          <w:spacing w:val="-1"/>
        </w:rPr>
        <w:t xml:space="preserve">重点区域的经验和案例，系统分析南京建设综合性国家科学中心 </w:t>
      </w:r>
      <w:r>
        <w:rPr>
          <w:spacing w:val="-2"/>
        </w:rPr>
        <w:t>和高质量发展的全球创新城市的现状和问题，提出利用南京科教、</w:t>
      </w:r>
      <w:r>
        <w:t>地理、创新环境等优势，扬长避短，克服体制机制阻碍，推动南</w:t>
      </w:r>
    </w:p>
    <w:p>
      <w:pPr>
        <w:spacing w:after="0" w:line="338" w:lineRule="auto"/>
        <w:sectPr>
          <w:footerReference r:id="rId5" w:type="default"/>
          <w:footerReference r:id="rId6" w:type="even"/>
          <w:pgSz w:w="11910" w:h="16840"/>
          <w:pgMar w:top="1500" w:right="1040" w:bottom="1520" w:left="1360" w:header="0" w:footer="1327" w:gutter="0"/>
          <w:pgNumType w:start="6"/>
          <w:cols w:space="720" w:num="1"/>
        </w:sectPr>
      </w:pPr>
    </w:p>
    <w:p>
      <w:pPr>
        <w:pStyle w:val="2"/>
        <w:spacing w:before="47" w:line="338" w:lineRule="auto"/>
        <w:ind w:right="282"/>
      </w:pPr>
      <w:r>
        <w:rPr>
          <w:w w:val="95"/>
        </w:rPr>
        <w:t xml:space="preserve">京基础科学和原始创新基地建设的目标、路径和具体政策建议， </w:t>
      </w:r>
      <w:r>
        <w:t>强化南京在区域的创新策源能力。</w:t>
      </w:r>
    </w:p>
    <w:p>
      <w:pPr>
        <w:pStyle w:val="2"/>
        <w:spacing w:before="3"/>
        <w:ind w:left="754"/>
      </w:pPr>
      <w:r>
        <w:t>（四）南京培育和发展未来产业的重点方向及支持措施研究</w:t>
      </w:r>
    </w:p>
    <w:p>
      <w:pPr>
        <w:pStyle w:val="2"/>
        <w:spacing w:before="171" w:line="340" w:lineRule="auto"/>
        <w:ind w:right="433" w:firstLine="640"/>
        <w:jc w:val="both"/>
      </w:pPr>
      <w:r>
        <w:t>主要研究内容：通过研究国内外对未来产业的研判分析，结合南京实际，研究提出南京培育和发展未来产业的重点方向，同时借鉴国内外的做法，研究提出未来产业行业发展面临的风险及行业治理模式，研究提出培育和发展未来产业的政策建议。</w:t>
      </w:r>
    </w:p>
    <w:p>
      <w:pPr>
        <w:pStyle w:val="2"/>
        <w:spacing w:line="400" w:lineRule="exact"/>
        <w:ind w:left="754"/>
      </w:pPr>
      <w:r>
        <w:t>（五）提升南京制造业产业链现代化水平的研究</w:t>
      </w:r>
    </w:p>
    <w:p>
      <w:pPr>
        <w:pStyle w:val="2"/>
        <w:spacing w:before="171" w:line="338" w:lineRule="auto"/>
        <w:ind w:right="434" w:firstLine="631"/>
        <w:jc w:val="both"/>
      </w:pPr>
      <w:r>
        <w:t>主要研究内容：在深入梳理产业链与创新链协同的理论、驱动机制等基础上，结合国内外典型区域案例，通过研究南京制造业产业链与创新链协同状况，为制定南京制造业产业链发展政策引导产业更高质量发展提供对策和方法。</w:t>
      </w:r>
    </w:p>
    <w:p>
      <w:pPr>
        <w:pStyle w:val="2"/>
        <w:spacing w:before="9"/>
        <w:ind w:left="754"/>
      </w:pPr>
      <w:r>
        <w:t>（六）打造生物医药产业人才高地战略研究</w:t>
      </w:r>
    </w:p>
    <w:p>
      <w:pPr>
        <w:pStyle w:val="2"/>
        <w:spacing w:before="168" w:line="338" w:lineRule="auto"/>
        <w:ind w:right="282" w:firstLine="631"/>
      </w:pPr>
      <w:r>
        <w:t>主要研究内容：根据南京市生物医药产业集群化高端化发展</w:t>
      </w:r>
      <w:r>
        <w:rPr>
          <w:w w:val="95"/>
        </w:rPr>
        <w:t xml:space="preserve">目标和要求，分析生物医药产业创新人才集聚现状与现实问题， </w:t>
      </w:r>
      <w:r>
        <w:t>在此基础上根据生物医药产业不同细分领域的需求，分析精准化引才途径，进行差异化创新人才集聚战略设计，健全创新人才在不同阶段之间的精准协同机制，促进人才链与产业链交互协同发展，提出培养和引进人才的政策建议，以推进生物医药产业高质量发展。</w:t>
      </w:r>
    </w:p>
    <w:p>
      <w:pPr>
        <w:pStyle w:val="2"/>
        <w:spacing w:before="15" w:line="340" w:lineRule="auto"/>
        <w:ind w:right="432" w:firstLine="640"/>
      </w:pPr>
      <w:r>
        <w:t>（七）科研人员职务科技成果所有权或长期使用权改革试点研究</w:t>
      </w:r>
    </w:p>
    <w:p>
      <w:pPr>
        <w:pStyle w:val="2"/>
        <w:spacing w:line="405" w:lineRule="exact"/>
        <w:ind w:left="754"/>
      </w:pPr>
      <w:r>
        <w:t>主要研究内容：通过对《赋予科研人员职务科技成果所有权</w:t>
      </w:r>
    </w:p>
    <w:p>
      <w:pPr>
        <w:spacing w:after="0" w:line="405" w:lineRule="exact"/>
        <w:sectPr>
          <w:pgSz w:w="11910" w:h="16840"/>
          <w:pgMar w:top="1520" w:right="1040" w:bottom="1520" w:left="1360" w:header="0" w:footer="1327" w:gutter="0"/>
          <w:cols w:space="720" w:num="1"/>
        </w:sectPr>
      </w:pPr>
    </w:p>
    <w:p>
      <w:pPr>
        <w:pStyle w:val="2"/>
        <w:spacing w:before="47" w:line="338" w:lineRule="auto"/>
        <w:ind w:right="282"/>
        <w:jc w:val="both"/>
      </w:pPr>
      <w:r>
        <w:t>或长期使用权试点实施方案》实施情况的调研，分析改革试点落</w:t>
      </w:r>
      <w:r>
        <w:rPr>
          <w:spacing w:val="-21"/>
        </w:rPr>
        <w:t>实过程中产生的问题，从试点范围、权属确定、单位职责等方面， 针对性提出解决路径和对策建议，着力破除制约科技成果转化的障碍和藩篱，完善科技成果转化激励政策，激发科研人员创新创</w:t>
      </w:r>
      <w:r>
        <w:rPr>
          <w:spacing w:val="3"/>
          <w:w w:val="95"/>
        </w:rPr>
        <w:t>业的积极性，促进科技与经济深度融合，推动经济高质量发展。</w:t>
      </w:r>
    </w:p>
    <w:p>
      <w:pPr>
        <w:pStyle w:val="2"/>
        <w:spacing w:before="9"/>
        <w:ind w:left="754"/>
      </w:pPr>
      <w:r>
        <w:t>（八）南京科技领域风险防控的机制与举措研究</w:t>
      </w:r>
    </w:p>
    <w:p>
      <w:pPr>
        <w:pStyle w:val="2"/>
        <w:spacing w:before="171" w:line="338" w:lineRule="auto"/>
        <w:ind w:right="434" w:firstLine="631"/>
        <w:jc w:val="both"/>
      </w:pPr>
      <w:r>
        <w:t>主要研究内容：结合南京创新发展需求，通过系统摸排南京重点企业、主导产业创新发展面临的风险，在未来产业布局、核心技术攻关、国际创新合作、科技人才引培、科研伦理规范等方面，提出强化南京科技领域风险防控能力的机制创新和应对处置措施。</w:t>
      </w:r>
    </w:p>
    <w:p>
      <w:pPr>
        <w:pStyle w:val="2"/>
        <w:spacing w:before="10"/>
        <w:ind w:left="754"/>
      </w:pPr>
      <w:r>
        <w:t>（九）平台型新型研发机构能力提升路径研究</w:t>
      </w:r>
    </w:p>
    <w:p>
      <w:pPr>
        <w:pStyle w:val="2"/>
        <w:spacing w:before="170" w:line="338" w:lineRule="auto"/>
        <w:ind w:right="434" w:firstLine="631"/>
        <w:jc w:val="both"/>
      </w:pPr>
      <w:r>
        <w:t>主要研究内容：结合南京建设高水平新型研发机构的需求， 进一步研究完善平台型新型研发机构的建设模式，探索强化机构平台能力提升的路径，提高关键核心技术源头供给水平，提升工程化能力、对外专业化服务和产业孵化能力，不断提升机构的专业化运营和市场化运作水平，探讨完善平台型新型研发机构的支持政策体系。</w:t>
      </w:r>
    </w:p>
    <w:p>
      <w:pPr>
        <w:pStyle w:val="2"/>
        <w:spacing w:before="12"/>
        <w:ind w:left="754"/>
      </w:pPr>
      <w:r>
        <w:t>（十）新形势下南京科创载体创新生态提升路径研究</w:t>
      </w:r>
    </w:p>
    <w:p>
      <w:pPr>
        <w:pStyle w:val="2"/>
        <w:spacing w:before="169" w:line="338" w:lineRule="auto"/>
        <w:ind w:right="429" w:firstLine="631"/>
        <w:jc w:val="both"/>
      </w:pPr>
      <w:r>
        <w:rPr>
          <w:spacing w:val="-20"/>
        </w:rPr>
        <w:t>主要研究内容：深入分析南京现有孵化器、众创空间、硅巷、</w:t>
      </w:r>
      <w:r>
        <w:rPr>
          <w:rFonts w:ascii="Calibri" w:hAnsi="Calibri" w:eastAsia="Calibri"/>
          <w:spacing w:val="3"/>
        </w:rPr>
        <w:t>“</w:t>
      </w:r>
      <w:r>
        <w:t>双创</w:t>
      </w:r>
      <w:r>
        <w:rPr>
          <w:rFonts w:ascii="Calibri" w:hAnsi="Calibri" w:eastAsia="Calibri"/>
        </w:rPr>
        <w:t>”</w:t>
      </w:r>
      <w:r>
        <w:t>基地等科创载体在生态建设方面存在的问题和短板，借鉴</w:t>
      </w:r>
      <w:r>
        <w:rPr>
          <w:spacing w:val="-1"/>
        </w:rPr>
        <w:t>先进城市科创载体建设的成功经验，围绕新形势下科技创新载体</w:t>
      </w:r>
      <w:r>
        <w:rPr>
          <w:spacing w:val="-2"/>
        </w:rPr>
        <w:t>自主创新能力、招才引智质量、要素利用等方面，就如何营造良</w:t>
      </w:r>
    </w:p>
    <w:p>
      <w:pPr>
        <w:spacing w:after="0" w:line="338" w:lineRule="auto"/>
        <w:jc w:val="both"/>
        <w:sectPr>
          <w:pgSz w:w="11910" w:h="16840"/>
          <w:pgMar w:top="1520" w:right="1040" w:bottom="1520" w:left="1360" w:header="0" w:footer="1327" w:gutter="0"/>
          <w:cols w:space="720" w:num="1"/>
        </w:sectPr>
      </w:pPr>
    </w:p>
    <w:p>
      <w:pPr>
        <w:pStyle w:val="2"/>
        <w:spacing w:before="47" w:line="338" w:lineRule="auto"/>
        <w:ind w:right="432"/>
      </w:pPr>
      <w:r>
        <w:t>好的创新创业氛围，打造适合科创企业发展的一流创新生态，推动科创载体高质量发展提出对策建议。</w:t>
      </w:r>
    </w:p>
    <w:p>
      <w:pPr>
        <w:pStyle w:val="2"/>
        <w:spacing w:before="3"/>
        <w:ind w:left="754"/>
      </w:pPr>
      <w:r>
        <w:t>二、一般项目</w:t>
      </w:r>
    </w:p>
    <w:p>
      <w:pPr>
        <w:pStyle w:val="2"/>
        <w:spacing w:before="171"/>
        <w:ind w:left="754"/>
      </w:pPr>
      <w:r>
        <w:t>体制改革和科技人才</w:t>
      </w:r>
    </w:p>
    <w:p>
      <w:pPr>
        <w:pStyle w:val="2"/>
        <w:spacing w:before="168" w:line="340" w:lineRule="auto"/>
        <w:ind w:right="280" w:firstLine="640"/>
      </w:pPr>
      <w:r>
        <w:t>新时期南京海外人才引进机制研究；南京突破</w:t>
      </w:r>
      <w:r>
        <w:rPr>
          <w:rFonts w:ascii="Calibri" w:hAnsi="Calibri" w:eastAsia="Calibri"/>
        </w:rPr>
        <w:t>“</w:t>
      </w:r>
      <w:r>
        <w:t>卡脖子</w:t>
      </w:r>
      <w:r>
        <w:rPr>
          <w:rFonts w:ascii="Calibri" w:hAnsi="Calibri" w:eastAsia="Calibri"/>
        </w:rPr>
        <w:t>”</w:t>
      </w:r>
      <w:r>
        <w:t>技术</w:t>
      </w:r>
      <w:r>
        <w:rPr>
          <w:w w:val="95"/>
        </w:rPr>
        <w:t xml:space="preserve">型人才队伍建设研究；新型研发机构培养应用型人才模式研究； </w:t>
      </w:r>
      <w:r>
        <w:t>激发科技人员创新活力研究；创新人才服务战略研究；改革优化南京科技计划体系研究；完善科技成果评价机制研究；军民融合创新机制研究；基层科技治理能力提升策略研究；减轻科技人员负担，激发创新活力研究等。</w:t>
      </w:r>
    </w:p>
    <w:p>
      <w:pPr>
        <w:pStyle w:val="2"/>
        <w:spacing w:line="397" w:lineRule="exact"/>
        <w:ind w:left="754"/>
      </w:pPr>
      <w:r>
        <w:t>主体创新和产业创新</w:t>
      </w:r>
    </w:p>
    <w:p>
      <w:pPr>
        <w:pStyle w:val="2"/>
        <w:spacing w:before="172" w:line="340" w:lineRule="auto"/>
        <w:ind w:right="268" w:firstLine="640"/>
      </w:pPr>
      <w:r>
        <w:t>南京重要战略科技力量布局研究；企业基础研究引导机制设计研究；创新链支撑产业链高质量发展路径研究；南京市八大产业链</w:t>
      </w:r>
      <w:r>
        <w:rPr>
          <w:rFonts w:ascii="Calibri" w:hAnsi="Calibri" w:eastAsia="Calibri"/>
        </w:rPr>
        <w:t>“</w:t>
      </w:r>
      <w:r>
        <w:t>卡脖子</w:t>
      </w:r>
      <w:r>
        <w:rPr>
          <w:rFonts w:ascii="Calibri" w:hAnsi="Calibri" w:eastAsia="Calibri"/>
        </w:rPr>
        <w:t>”</w:t>
      </w:r>
      <w:r>
        <w:rPr>
          <w:spacing w:val="-12"/>
        </w:rPr>
        <w:t xml:space="preserve">技术突破路径研究；高新技术企业高质量发展研究； </w:t>
      </w:r>
      <w:r>
        <w:rPr>
          <w:spacing w:val="-2"/>
        </w:rPr>
        <w:t>高成长性企业培育机制研究；</w:t>
      </w:r>
      <w:r>
        <w:rPr>
          <w:rFonts w:ascii="Calibri" w:hAnsi="Calibri" w:eastAsia="Calibri"/>
          <w:spacing w:val="-21"/>
        </w:rPr>
        <w:t>“</w:t>
      </w:r>
      <w:r>
        <w:t>硅巷</w:t>
      </w:r>
      <w:r>
        <w:rPr>
          <w:rFonts w:ascii="Calibri" w:hAnsi="Calibri" w:eastAsia="Calibri"/>
        </w:rPr>
        <w:t>”</w:t>
      </w:r>
      <w:r>
        <w:rPr>
          <w:spacing w:val="-3"/>
        </w:rPr>
        <w:t>建设合作路径研究；</w:t>
      </w:r>
      <w:r>
        <w:rPr>
          <w:rFonts w:ascii="Calibri" w:hAnsi="Calibri" w:eastAsia="Calibri"/>
          <w:spacing w:val="-21"/>
        </w:rPr>
        <w:t>“</w:t>
      </w:r>
      <w:r>
        <w:t>大学创新港</w:t>
      </w:r>
      <w:r>
        <w:rPr>
          <w:rFonts w:ascii="Calibri" w:hAnsi="Calibri" w:eastAsia="Calibri"/>
        </w:rPr>
        <w:t>”</w:t>
      </w:r>
      <w:r>
        <w:t>建设中的协同合作机制研究等。</w:t>
      </w:r>
    </w:p>
    <w:p>
      <w:pPr>
        <w:pStyle w:val="2"/>
        <w:spacing w:line="398" w:lineRule="exact"/>
        <w:ind w:left="754"/>
      </w:pPr>
      <w:r>
        <w:t>区域创新和开放创新</w:t>
      </w:r>
    </w:p>
    <w:p>
      <w:pPr>
        <w:pStyle w:val="2"/>
        <w:spacing w:before="171" w:line="338" w:lineRule="auto"/>
        <w:ind w:right="113" w:firstLine="640"/>
      </w:pPr>
      <w:r>
        <w:rPr>
          <w:spacing w:val="-1"/>
        </w:rPr>
        <w:t xml:space="preserve">新发展格局下我市国际合作科技园区建设路径研究；疫情环 境下开放创新合作支持机制研究；长三角一体化背景下南京新型 </w:t>
      </w:r>
      <w:r>
        <w:rPr>
          <w:spacing w:val="-3"/>
        </w:rPr>
        <w:t xml:space="preserve">研发机构高质量发展对策研究；长三角科技创新共同体建设研究； </w:t>
      </w:r>
      <w:r>
        <w:t>南京都市圈科技创新合作机制研究等。</w:t>
      </w:r>
    </w:p>
    <w:p>
      <w:pPr>
        <w:pStyle w:val="2"/>
        <w:spacing w:before="9"/>
        <w:ind w:left="754"/>
      </w:pPr>
      <w:r>
        <w:t>创新环境和社会民生</w:t>
      </w:r>
    </w:p>
    <w:p>
      <w:pPr>
        <w:pStyle w:val="2"/>
        <w:spacing w:before="168"/>
        <w:ind w:left="754"/>
      </w:pPr>
      <w:r>
        <w:t>贯彻落实习近平法治建设思想，提升科技系统依法行政能力</w:t>
      </w:r>
    </w:p>
    <w:p>
      <w:pPr>
        <w:spacing w:after="0"/>
        <w:sectPr>
          <w:pgSz w:w="11910" w:h="16840"/>
          <w:pgMar w:top="1520" w:right="1040" w:bottom="1520" w:left="1360" w:header="0" w:footer="1327" w:gutter="0"/>
          <w:cols w:space="720" w:num="1"/>
        </w:sectPr>
      </w:pPr>
    </w:p>
    <w:p>
      <w:pPr>
        <w:pStyle w:val="2"/>
        <w:spacing w:before="27" w:line="338" w:lineRule="auto"/>
        <w:ind w:right="434"/>
        <w:jc w:val="both"/>
      </w:pPr>
      <w:r>
        <w:t>研究；推进科研诚信建设路径研究；加强和创新社会治理，确保社会大局安全稳定研究；加强疫病防控和公共卫生科研攻关体系和能力建设的研究；临床医学研究中心建设及协同机制研究；提高生态文明建设水平相关问题研究；低碳示范区建设机制与模式研究；进一步推动城乡融合发展相关问题研究；围绕地方特色农产品安全与种质资源保护，开展优特品种资源挖掘与创新利用研究等。</w:t>
      </w:r>
    </w:p>
    <w:p/>
    <w:sectPr>
      <w:pgSz w:w="11910" w:h="16840"/>
      <w:pgMar w:top="1540" w:right="1040" w:bottom="1520" w:left="1360" w:header="0" w:footer="132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5991225</wp:posOffset>
              </wp:positionH>
              <wp:positionV relativeFrom="page">
                <wp:posOffset>9709785</wp:posOffset>
              </wp:positionV>
              <wp:extent cx="419735" cy="22288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19735" cy="222885"/>
                      </a:xfrm>
                      <a:prstGeom prst="rect">
                        <a:avLst/>
                      </a:prstGeom>
                      <a:noFill/>
                      <a:ln>
                        <a:noFill/>
                      </a:ln>
                    </wps:spPr>
                    <wps:txbx>
                      <w:txbxContent>
                        <w:p>
                          <w:pPr>
                            <w:spacing w:before="9"/>
                            <w:ind w:left="20" w:right="0" w:firstLine="0"/>
                            <w:jc w:val="left"/>
                            <w:rPr>
                              <w:rFonts w:ascii="Times New Roman" w:hAnsi="Times New Roman"/>
                              <w:sz w:val="28"/>
                            </w:rPr>
                          </w:pPr>
                          <w:r>
                            <w:rPr>
                              <w:rFonts w:ascii="Times New Roman" w:hAnsi="Times New Roman"/>
                              <w:sz w:val="28"/>
                            </w:rPr>
                            <w:t xml:space="preserve">– </w:t>
                          </w:r>
                          <w:r>
                            <w:fldChar w:fldCharType="begin"/>
                          </w:r>
                          <w:r>
                            <w:rPr>
                              <w:rFonts w:ascii="Times New Roman" w:hAnsi="Times New Roman"/>
                              <w:sz w:val="28"/>
                            </w:rPr>
                            <w:instrText xml:space="preserve"> PAGE </w:instrText>
                          </w:r>
                          <w:r>
                            <w:fldChar w:fldCharType="separate"/>
                          </w:r>
                          <w:r>
                            <w:t>7</w:t>
                          </w:r>
                          <w:r>
                            <w:fldChar w:fldCharType="end"/>
                          </w:r>
                          <w:r>
                            <w:rPr>
                              <w:rFonts w:ascii="Times New Roman" w:hAnsi="Times New Roman"/>
                              <w:sz w:val="28"/>
                            </w:rPr>
                            <w:t xml:space="preserve"> –</w:t>
                          </w:r>
                        </w:p>
                      </w:txbxContent>
                    </wps:txbx>
                    <wps:bodyPr lIns="0" tIns="0" rIns="0" bIns="0" upright="1"/>
                  </wps:wsp>
                </a:graphicData>
              </a:graphic>
            </wp:anchor>
          </w:drawing>
        </mc:Choice>
        <mc:Fallback>
          <w:pict>
            <v:shape id="_x0000_s1026" o:spid="_x0000_s1026" o:spt="202" type="#_x0000_t202" style="position:absolute;left:0pt;margin-left:471.75pt;margin-top:764.55pt;height:17.55pt;width:33.05pt;mso-position-horizontal-relative:page;mso-position-vertical-relative:page;z-index:-251657216;mso-width-relative:page;mso-height-relative:page;" filled="f" stroked="f" coordsize="21600,21600" o:gfxdata="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KC7iv2gAAAA4BAAAPAAAAAAAAAAEAIAAAACIAAABkcnMvZG93bnJldi54bWxQSwEC&#10;FAAUAAAACACHTuJAY1v5o7kBAABxAwAADgAAAAAAAAABACAAAAApAQAAZHJzL2Uyb0RvYy54bWxQ&#10;SwUGAAAAAAYABgBZAQAAVAUAAAAA&#10;">
              <v:path/>
              <v:fill on="f" focussize="0,0"/>
              <v:stroke on="f" joinstyle="miter"/>
              <v:imagedata o:title=""/>
              <o:lock v:ext="edit"/>
              <v:textbox inset="0mm,0mm,0mm,0mm">
                <w:txbxContent>
                  <w:p>
                    <w:pPr>
                      <w:spacing w:before="9"/>
                      <w:ind w:left="20" w:right="0" w:firstLine="0"/>
                      <w:jc w:val="left"/>
                      <w:rPr>
                        <w:rFonts w:ascii="Times New Roman" w:hAnsi="Times New Roman"/>
                        <w:sz w:val="28"/>
                      </w:rPr>
                    </w:pPr>
                    <w:r>
                      <w:rPr>
                        <w:rFonts w:ascii="Times New Roman" w:hAnsi="Times New Roman"/>
                        <w:sz w:val="28"/>
                      </w:rPr>
                      <w:t xml:space="preserve">– </w:t>
                    </w:r>
                    <w:r>
                      <w:fldChar w:fldCharType="begin"/>
                    </w:r>
                    <w:r>
                      <w:rPr>
                        <w:rFonts w:ascii="Times New Roman" w:hAnsi="Times New Roman"/>
                        <w:sz w:val="28"/>
                      </w:rPr>
                      <w:instrText xml:space="preserve"> PAGE </w:instrText>
                    </w:r>
                    <w:r>
                      <w:fldChar w:fldCharType="separate"/>
                    </w:r>
                    <w:r>
                      <w:t>7</w:t>
                    </w:r>
                    <w:r>
                      <w:fldChar w:fldCharType="end"/>
                    </w:r>
                    <w:r>
                      <w:rPr>
                        <w:rFonts w:ascii="Times New Roman" w:hAnsi="Times New Roman"/>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1151890</wp:posOffset>
              </wp:positionH>
              <wp:positionV relativeFrom="page">
                <wp:posOffset>9709785</wp:posOffset>
              </wp:positionV>
              <wp:extent cx="509270" cy="2228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9270" cy="222885"/>
                      </a:xfrm>
                      <a:prstGeom prst="rect">
                        <a:avLst/>
                      </a:prstGeom>
                      <a:noFill/>
                      <a:ln>
                        <a:noFill/>
                      </a:ln>
                    </wps:spPr>
                    <wps:txbx>
                      <w:txbxContent>
                        <w:p>
                          <w:pPr>
                            <w:spacing w:before="9"/>
                            <w:ind w:left="20" w:right="0" w:firstLine="0"/>
                            <w:jc w:val="left"/>
                            <w:rPr>
                              <w:rFonts w:ascii="Times New Roman" w:hAnsi="Times New Roman"/>
                              <w:sz w:val="28"/>
                            </w:rPr>
                          </w:pPr>
                          <w:r>
                            <w:rPr>
                              <w:rFonts w:ascii="Times New Roman" w:hAnsi="Times New Roman"/>
                              <w:sz w:val="28"/>
                            </w:rPr>
                            <w:t xml:space="preserve">– </w:t>
                          </w:r>
                          <w:r>
                            <w:fldChar w:fldCharType="begin"/>
                          </w:r>
                          <w:r>
                            <w:rPr>
                              <w:rFonts w:ascii="Times New Roman" w:hAnsi="Times New Roman"/>
                              <w:sz w:val="28"/>
                            </w:rPr>
                            <w:instrText xml:space="preserve"> PAGE </w:instrText>
                          </w:r>
                          <w:r>
                            <w:fldChar w:fldCharType="separate"/>
                          </w:r>
                          <w:r>
                            <w:t>10</w:t>
                          </w:r>
                          <w:r>
                            <w:fldChar w:fldCharType="end"/>
                          </w:r>
                          <w:r>
                            <w:rPr>
                              <w:rFonts w:ascii="Times New Roman" w:hAnsi="Times New Roman"/>
                              <w:sz w:val="28"/>
                            </w:rPr>
                            <w:t xml:space="preserve"> –</w:t>
                          </w:r>
                        </w:p>
                      </w:txbxContent>
                    </wps:txbx>
                    <wps:bodyPr lIns="0" tIns="0" rIns="0" bIns="0" upright="1"/>
                  </wps:wsp>
                </a:graphicData>
              </a:graphic>
            </wp:anchor>
          </w:drawing>
        </mc:Choice>
        <mc:Fallback>
          <w:pict>
            <v:shape id="_x0000_s1026" o:spid="_x0000_s1026" o:spt="202" type="#_x0000_t202" style="position:absolute;left:0pt;margin-left:90.7pt;margin-top:764.55pt;height:17.55pt;width:40.1pt;mso-position-horizontal-relative:page;mso-position-vertical-relative:page;z-index:-251657216;mso-width-relative:page;mso-height-relative:page;" filled="f" stroked="f" coordsize="21600,21600" o:gfxdata="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dGCsPaAAAADQEAAA8AAAAAAAAAAQAgAAAAIgAAAGRycy9kb3ducmV2LnhtbFBLAQIU&#10;ABQAAAAIAIdO4kBC1cNquAEAAHEDAAAOAAAAAAAAAAEAIAAAACkBAABkcnMvZTJvRG9jLnhtbFBL&#10;BQYAAAAABgAGAFkBAABTBQAAAAA=&#10;">
              <v:path/>
              <v:fill on="f" focussize="0,0"/>
              <v:stroke on="f" joinstyle="miter"/>
              <v:imagedata o:title=""/>
              <o:lock v:ext="edit"/>
              <v:textbox inset="0mm,0mm,0mm,0mm">
                <w:txbxContent>
                  <w:p>
                    <w:pPr>
                      <w:spacing w:before="9"/>
                      <w:ind w:left="20" w:right="0" w:firstLine="0"/>
                      <w:jc w:val="left"/>
                      <w:rPr>
                        <w:rFonts w:ascii="Times New Roman" w:hAnsi="Times New Roman"/>
                        <w:sz w:val="28"/>
                      </w:rPr>
                    </w:pPr>
                    <w:r>
                      <w:rPr>
                        <w:rFonts w:ascii="Times New Roman" w:hAnsi="Times New Roman"/>
                        <w:sz w:val="28"/>
                      </w:rPr>
                      <w:t xml:space="preserve">– </w:t>
                    </w:r>
                    <w:r>
                      <w:fldChar w:fldCharType="begin"/>
                    </w:r>
                    <w:r>
                      <w:rPr>
                        <w:rFonts w:ascii="Times New Roman" w:hAnsi="Times New Roman"/>
                        <w:sz w:val="28"/>
                      </w:rPr>
                      <w:instrText xml:space="preserve"> PAGE </w:instrText>
                    </w:r>
                    <w:r>
                      <w:fldChar w:fldCharType="separate"/>
                    </w:r>
                    <w:r>
                      <w:t>10</w:t>
                    </w:r>
                    <w:r>
                      <w:fldChar w:fldCharType="end"/>
                    </w:r>
                    <w:r>
                      <w:rPr>
                        <w:rFonts w:ascii="Times New Roman" w:hAnsi="Times New Roman"/>
                        <w:sz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D52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114"/>
    </w:pPr>
    <w:rPr>
      <w:rFonts w:ascii="宋体" w:hAnsi="宋体" w:eastAsia="宋体" w:cs="宋体"/>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2021-08-20T08:54:08Z</dcterms:created>
  <dc:creator>user</dc:creator>
  <cp:lastModifiedBy>user</cp:lastModifiedBy>
  <dcterms:modified xsi:type="dcterms:W3CDTF">2021-08-20T08:54:18Z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9F3C4B1CE4D14CD4BC05598326E27828</vt:lpwstr>
  </property>
</Properties>
</file>